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6119820" cy="22733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PRZESTRZEŃ SPOTKANIA  – Wioska teatralna 2020, część 3 online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1. – 5. 12. 2020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  <w:rtl w:val="0"/>
        </w:rPr>
        <w:t xml:space="preserve">SPOTKANIA: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wt, 2 grudnia, godz. 20.00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Rozziew –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film o pracy nad spektaklem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Innej Szkoły Teatralnej Teatru Węgajty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inscenizacja: Wacław Sobaszek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(film w języku polskim z niemieckimi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napisami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 pokazie – spotkanie z zespołem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śr, 3 grudnia, od godz. 19.00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Śniło mi się coś! Opowiem ci o tym!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spotkanie 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Emilią Hagelganz i  Yacoubą Coulibaly (Labsa, Dortmund)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rozmowa w języku niemieckim, tłumaczona na polski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czw, 4 grudnia, godz. 17.00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życiu za epidemiologicznym parkanem – spotkanie poświęcone procesowi pracy nad spektaklem Tango/Ballada o Edku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Teatru Potrzebnego Jonkowo/Węgajty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reżyserii Wacława Sobaszka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pt, 5 grudnia, godz. 20.00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Przestrzenie spotkania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rozmowa na zakończenie Wioski i na otwarcie nadchodzącego, „zamkniętego” sezonu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74e13"/>
          <w:sz w:val="28"/>
          <w:szCs w:val="28"/>
          <w:u w:val="none"/>
          <w:shd w:fill="auto" w:val="clear"/>
          <w:vertAlign w:val="baseline"/>
          <w:rtl w:val="0"/>
        </w:rPr>
        <w:t xml:space="preserve">FILMY I DOKUMENTACJA FILMOWA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 wt, 2 grudnia, godz. 22.00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nd, 7 grudnia, godz. 24.00 na kanale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YouTube Teatru Węgajty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  https://www.youtube.com/user/teatrwegajty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dostępne będą: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„DNA positive – DNA negative”, „Sorry, muszę spać!” i inne projekty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Transnarodowego Zespołu Labsa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pokaz dokumentacji filmowej zespołu (filmy w języku niemieckim, z polskimi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napisami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poszukiwaniu pieśni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nagrania i relacje z warsztatu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Elizy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(warsztat realizowany w dwóch częściach w lipcu i listopadzie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Wykluwanie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film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Piotra Magdziarza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Wiosce Teatralnej 2019 w wersji polsko-niemieckiej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761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761d"/>
          <w:sz w:val="28"/>
          <w:szCs w:val="28"/>
          <w:u w:val="none"/>
          <w:shd w:fill="auto" w:val="clear"/>
          <w:vertAlign w:val="baseline"/>
          <w:rtl w:val="0"/>
        </w:rPr>
        <w:t xml:space="preserve">WARSZTAT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do 5 grudnia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Błyskawiczna metoda malowania gór w stylu chińskim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warsztat technik malarskich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Tadeusza Piotrowskiego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formie indywidualnych konsultacji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913447" cy="92160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447" cy="921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2094547" cy="1047274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547" cy="10472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1037272" cy="65928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7272" cy="659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686753" cy="881332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13887" r="27157" t="25752"/>
                    <a:stretch>
                      <a:fillRect/>
                    </a:stretch>
                  </pic:blipFill>
                  <pic:spPr>
                    <a:xfrm>
                      <a:off x="0" y="0"/>
                      <a:ext cx="686753" cy="881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1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yperlink" Target="https://www.youtube.com/user/teatrwegajty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